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23-09-26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23/09/2026  ·  18:00-19:40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2 · Decodificadores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Completar la Práctica 2 con el decodificador BCD a siete segmentos y el multiplexado de displays.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DECODIFICADOR BCD A SIETE SEGMENTOS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Verificar primero si el display de la tarjeta es de ánodo o de cátodo común.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Describir con un case y una constante de siete bits por dígito.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Cubrir del 10 al 15 con others, para no inferir latch.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MULTIPLEXADO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Contador divisor para generar la base de tiempo del barrido.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Selección del dígito activo a partir de ese contador.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Multiplexor que elige el valor BCD del dígito activo.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Activación del ánodo o cátodo correspondiente.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FRECUENCIA DEL BARRIDO</w:t>
      </w:r>
    </w:p>
    <w:p>
      <w:r>
        <w:rPr>
          <w:rFonts w:ascii="Arial" w:hAnsi="Arial" w:cs="Arial"/>
          <w:b w:val="0"/>
          <w:i w:val="0"/>
          <w:sz w:val="20"/>
        </w:rPr>
        <w:t>Si el refresco por dígito baja de unos 60 Hz se ve parpadeo; si sube demasiado, el brillo cae porque cada dígito enciende menos tiempo. Conviene probar varias frecuencias y anotar el resultado observado: eso es medición experimental.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REGLA DEL RELOJ ÚNICO</w:t>
      </w:r>
    </w:p>
    <w:p>
      <w:r>
        <w:rPr>
          <w:rFonts w:ascii="Arial" w:hAnsi="Arial" w:cs="Arial"/>
          <w:b w:val="0"/>
          <w:i w:val="0"/>
          <w:sz w:val="20"/>
        </w:rPr>
        <w:t>No generar un reloj derivado con lógica y usarlo para alimentar registros. Se usa una señal de habilitación producida por el contador y se conserva un solo reloj en todo el diseño. Violarlo hace imposible el análisis de tiempos.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CONVERSIÓN BINARIO A BCD</w:t>
      </w:r>
    </w:p>
    <w:p>
      <w:r>
        <w:rPr>
          <w:rFonts w:ascii="Arial" w:hAnsi="Arial" w:cs="Arial"/>
          <w:b w:val="0"/>
          <w:i w:val="0"/>
          <w:sz w:val="20"/>
        </w:rPr>
        <w:t>Si el dato es binario, convertirlo con doble dabble: desplazar y sumar 3 a cada nibble que exceda 4. Es sintetizable y no requiere división.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2</w:t>
      </w:r>
    </w:p>
    <w:p>
      <w:r>
        <w:rPr>
          <w:rFonts w:ascii="Arial" w:hAnsi="Arial" w:cs="Arial"/>
          <w:b w:val="0"/>
          <w:i w:val="0"/>
          <w:sz w:val="20"/>
        </w:rPr>
        <w:t>Reporte completo y demostración funcionando. En el reporte, la comparación teórico-práctica debe contrastar los resultados de simulación con los del hardware, que es donde se otorga el mayor puntaje de la rúbrica junto con las mediciones.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