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19-08-26 Laboratorio de Sistemas Embebidos</w:t>
      </w:r>
    </w:p>
    <w:p>
      <w:pPr>
        <w:spacing w:after="200"/>
        <w:jc w:val="center"/>
      </w:pPr>
      <w:r>
        <w:rPr>
          <w:i/>
          <w:iCs/>
          <w:color w:val="595959"/>
          <w:sz w:val="18"/>
          <w:szCs w:val="18"/>
        </w:rPr>
        <w:t xml:space="preserve">CN113  ·  miércoles 19/08/2026  ·  18:00-19:40</w:t>
      </w:r>
    </w:p>
    <w:p>
      <w:pPr>
        <w:spacing w:after="60" w:before="160"/>
      </w:pPr>
      <w:r>
        <w:rPr>
          <w:b/>
          <w:bCs/>
        </w:rPr>
        <w:t xml:space="preserve">REGLAS DEL LABORATORIO</w:t>
      </w:r>
    </w:p>
    <w:p>
      <w:pPr>
        <w:pStyle w:val="ListParagraph"/>
        <w:numPr>
          <w:ilvl w:val="0"/>
          <w:numId w:val="2"/>
        </w:numPr>
        <w:spacing w:after="60"/>
      </w:pPr>
      <w:r>
        <w:t xml:space="preserve">No se entra con alimentos al salón ni al laboratorio.</w:t>
      </w:r>
    </w:p>
    <w:p>
      <w:pPr>
        <w:pStyle w:val="ListParagraph"/>
        <w:numPr>
          <w:ilvl w:val="0"/>
          <w:numId w:val="2"/>
        </w:numPr>
        <w:spacing w:after="60"/>
      </w:pPr>
      <w:r>
        <w:t xml:space="preserve">90% de asistencia para tener derecho a evaluación.</w:t>
      </w:r>
    </w:p>
    <w:p>
      <w:pPr>
        <w:pStyle w:val="ListParagraph"/>
        <w:numPr>
          <w:ilvl w:val="0"/>
          <w:numId w:val="2"/>
        </w:numPr>
        <w:spacing w:after="60"/>
      </w:pPr>
      <w:r>
        <w:t xml:space="preserve">Hay que estar Y participar para que cuente la asistencia del día.</w:t>
      </w:r>
    </w:p>
    <w:p>
      <w:pPr>
        <w:pStyle w:val="ListParagraph"/>
        <w:numPr>
          <w:ilvl w:val="0"/>
          <w:numId w:val="2"/>
        </w:numPr>
        <w:spacing w:after="60"/>
      </w:pPr>
      <w:r>
        <w:t xml:space="preserve">Entregas: retraso máximo de una semana, con penalización.</w:t>
      </w:r>
    </w:p>
    <w:p>
      <w:pPr>
        <w:spacing w:after="60" w:before="160"/>
      </w:pPr>
      <w:r>
        <w:rPr>
          <w:b/>
          <w:bCs/>
        </w:rPr>
        <w:t xml:space="preserve">CÓMO SE CALIFICA CADA PRÁCTICA</w:t>
      </w:r>
    </w:p>
    <w:p>
      <w:pPr>
        <w:pStyle w:val="ListParagraph"/>
        <w:numPr>
          <w:ilvl w:val="0"/>
          <w:numId w:val="2"/>
        </w:numPr>
        <w:spacing w:after="60"/>
      </w:pPr>
      <w:r>
        <w:t xml:space="preserve">1 punto: el experimento funcionando, avalado por el profesor.</w:t>
      </w:r>
    </w:p>
    <w:p>
      <w:pPr>
        <w:pStyle w:val="ListParagraph"/>
        <w:numPr>
          <w:ilvl w:val="0"/>
          <w:numId w:val="2"/>
        </w:numPr>
        <w:spacing w:after="60"/>
      </w:pPr>
      <w:r>
        <w:t xml:space="preserve">1 punto: el reporte, según rúbrica.</w:t>
      </w:r>
    </w:p>
    <w:p>
      <w:r>
        <w:t xml:space="preserve">La rúbrica pesa sobre todo en MEDICIONES EXPERIMENTALES (20%) y COMPARACIÓN TEÓRICO-PRÁCTICA (15%). Conviene leerla completa antes del primer reporte.</w:t>
      </w:r>
    </w:p>
    <w:p>
      <w:pPr>
        <w:spacing w:after="60" w:before="160"/>
      </w:pPr>
      <w:r>
        <w:rPr>
          <w:b/>
          <w:bCs/>
        </w:rPr>
        <w:t xml:space="preserve">HERRAMIENTAS</w:t>
      </w:r>
    </w:p>
    <w:p>
      <w:pPr>
        <w:pStyle w:val="ListParagraph"/>
        <w:numPr>
          <w:ilvl w:val="0"/>
          <w:numId w:val="2"/>
        </w:numPr>
        <w:spacing w:after="60"/>
      </w:pPr>
      <w:r>
        <w:t xml:space="preserve">Quartus — síntesis, emplazamiento, ruteo y programación del dispositivo.</w:t>
      </w:r>
    </w:p>
    <w:p>
      <w:pPr>
        <w:pStyle w:val="ListParagraph"/>
        <w:numPr>
          <w:ilvl w:val="0"/>
          <w:numId w:val="2"/>
        </w:numPr>
        <w:spacing w:after="60"/>
      </w:pPr>
      <w:r>
        <w:t xml:space="preserve">ActiveHDL — simulación funcional y de tiempos.</w:t>
      </w:r>
    </w:p>
    <w:p>
      <w:pPr>
        <w:pStyle w:val="ListParagraph"/>
        <w:numPr>
          <w:ilvl w:val="0"/>
          <w:numId w:val="2"/>
        </w:numPr>
        <w:spacing w:after="60"/>
      </w:pPr>
      <w:r>
        <w:t xml:space="preserve">MATLAB o Python — generar vectores de prueba y verificar resultados.</w:t>
      </w:r>
    </w:p>
    <w:p>
      <w:pPr>
        <w:spacing w:after="60" w:before="160"/>
      </w:pPr>
      <w:r>
        <w:rPr>
          <w:b/>
          <w:bCs/>
        </w:rPr>
        <w:t xml:space="preserve">EL FLUJO, CON UN EJEMPLO MÍNIMO</w:t>
      </w:r>
    </w:p>
    <w:p>
      <w:pPr>
        <w:spacing w:after="60"/>
        <w:ind w:left="340"/>
      </w:pPr>
      <w:r>
        <w:t xml:space="preserve">1. Crear el proyecto y seleccionar el dispositivo EXACTO de la tarjeta.</w:t>
      </w:r>
    </w:p>
    <w:p>
      <w:pPr>
        <w:spacing w:after="60"/>
        <w:ind w:left="340"/>
      </w:pPr>
      <w:r>
        <w:t xml:space="preserve">2. Escribir entity y architecture de una AND de dos entradas.</w:t>
      </w:r>
    </w:p>
    <w:p>
      <w:pPr>
        <w:spacing w:after="60"/>
        <w:ind w:left="340"/>
      </w:pPr>
      <w:r>
        <w:t xml:space="preserve">3. Compilar y revisar el reporte de síntesis.</w:t>
      </w:r>
    </w:p>
    <w:p>
      <w:pPr>
        <w:spacing w:after="60"/>
        <w:ind w:left="340"/>
      </w:pPr>
      <w:r>
        <w:t xml:space="preserve">4. Escribir un testbench y simular.</w:t>
      </w:r>
    </w:p>
    <w:p>
      <w:pPr>
        <w:spacing w:after="60"/>
        <w:ind w:left="340"/>
      </w:pPr>
      <w:r>
        <w:t xml:space="preserve">5. Asignar pines a interruptores y LED con el Pin Planner.</w:t>
      </w:r>
    </w:p>
    <w:p>
      <w:pPr>
        <w:spacing w:after="60"/>
        <w:ind w:left="340"/>
      </w:pPr>
      <w:r>
        <w:t xml:space="preserve">6. Programar la tarjeta y verificar físicamente.</w:t>
      </w:r>
    </w:p>
    <w:p>
      <w:pPr>
        <w:spacing w:after="60" w:before="160"/>
      </w:pPr>
      <w:r>
        <w:rPr>
          <w:b/>
          <w:bCs/>
        </w:rPr>
        <w:t xml:space="preserve">EL TESTBENCH</w:t>
      </w:r>
    </w:p>
    <w:p>
      <w:r>
        <w:t xml:space="preserve">Módulo SIN puertos que instancia el diseño bajo prueba, le aplica estímulos y verifica respuestas. No se sintetiza: puede usar retardos, ciclos y asserts libremente.</w:t>
      </w:r>
    </w:p>
    <w:p>
      <w:r>
        <w:t xml:space="preserve">Un assert que compara contra el valor esperado convierte la simulación en una prueba automática. Revisar formas de onda a ojo sirve para cinco señales, no para lo de esta materia.</w:t>
      </w:r>
    </w:p>
    <w:p>
      <w:pPr>
        <w:spacing w:after="60" w:before="160"/>
      </w:pPr>
      <w:r>
        <w:rPr>
          <w:b/>
          <w:bCs/>
        </w:rPr>
        <w:t xml:space="preserve">ASIGNACIÓN DE PINES — CUIDADO</w:t>
      </w:r>
    </w:p>
    <w:p>
      <w:r>
        <w:t xml:space="preserve">Debe corresponder al manual de la tarjeta. Un pin mal asignado puede DAÑAR el dispositivo si se conecta una salida contra otra salida. Es la única forma real de romper el equipo aquí.</w:t>
      </w:r>
    </w:p>
    <w:p/>
    <w:p>
      <w:r>
        <w:t xml:space="preserve">(Notas reconstruidas del programa el 18-08. Contrastar con lo visto en clase y borrar esta línea al verificarlas.)</w:t>
      </w:r>
    </w:p>
    <w:p>
      <w:pPr>
        <w:pBdr>
          <w:bottom w:val="single" w:color="BFBFBF" w:sz="6" w:space="1"/>
        </w:pBdr>
        <w:spacing w:after="120" w:before="120"/>
      </w:pPr>
    </w:p>
    <w:p>
      <w:pPr>
        <w:spacing w:after="60" w:before="160"/>
      </w:pPr>
      <w:r>
        <w:rPr>
          <w:b/>
          <w:bCs/>
        </w:rPr>
        <w:t xml:space="preserve">TAREA PROPIA</w:t>
      </w:r>
    </w:p>
    <w:p>
      <w:r>
        <w:t xml:space="preserve">1.- Dejar Quartus y ActiveHDL instalados y compilando un ejemplo</w:t>
      </w:r>
    </w:p>
    <w:p>
      <w:r>
        <w:t xml:space="preserve">2.- Bajar el manual de la tarjeta y ubicar la tabla de pines</w:t>
      </w:r>
    </w:p>
    <w:p>
      <w:r>
        <w:t xml:space="preserve">3.- Leer la rúbrica de reportes completa antes de la Práctica 1</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2026-08-19T04:50:54.301Z</dcterms:created>
  <dcterms:modified xsi:type="dcterms:W3CDTF">2026-08-19T04:50:54.301Z</dcterms:modified>
</cp:coreProperties>
</file>

<file path=docProps/custom.xml><?xml version="1.0" encoding="utf-8"?>
<Properties xmlns="http://schemas.openxmlformats.org/officeDocument/2006/custom-properties" xmlns:vt="http://schemas.openxmlformats.org/officeDocument/2006/docPropsVTypes"/>
</file>