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NOTAS 20-10-26 Escritura Académica</w:t>
      </w:r>
    </w:p>
    <w:p>
      <w:pPr>
        <w:spacing w:after="160"/>
        <w:jc w:val="center"/>
      </w:pPr>
      <w:r>
        <w:rPr>
          <w:i/>
          <w:iCs/>
          <w:color w:val="595959"/>
          <w:sz w:val="18"/>
          <w:szCs w:val="18"/>
        </w:rPr>
        <w:t xml:space="preserve">HU109  ·  martes 20/10/2026  ·  08:30-09:45</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4. Discusión y el modelo argumentativo de Toulmin». Según la guía del maestro, lo central es: Tesis (claim) — lo que afirmas.; Datos (grounds) — la evidencia en que te apoyas.; Garantía (warrant) — el principio que conecta los datos con la tesis.; Respaldo (backing) — lo que sostiene la garantía si alguien la cuestiona..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4. Discusión y el modelo argumentativo de Toulmin</w:t>
      </w:r>
    </w:p>
    <w:p>
      <w:pPr>
        <w:spacing w:after="160"/>
      </w:pPr>
      <w:r>
        <w:rPr>
          <w:sz w:val="20"/>
          <w:szCs w:val="20"/>
        </w:rPr>
        <w:t xml:space="preserve">Toulmin descompone cualquier argumento en piezas identificables. Sirve para escribir mejor y también para desarmar los argumentos ajenos.</w:t>
      </w:r>
    </w:p>
    <w:p>
      <w:pPr>
        <w:spacing w:after="160"/>
      </w:pPr>
      <w:r>
        <w:rPr>
          <w:sz w:val="20"/>
          <w:szCs w:val="20"/>
        </w:rPr>
        <w:t xml:space="preserve">Tesis: los sistemas de reconocimiento facial no deberían usarse solos para control de acceso. Datos: doce de veintitrés estudios reportan errores diferenciados por grupo demográfico. Garantía: un sistema de seguridad con error desigual entre grupos es inaceptable. Respaldo: principios de equidad en normativa de protección de datos. Matizador: mientras no se corrija la brecha. Refutación: salvo en entornos controlados con población homogénea y verificación secundaria.</w:t>
      </w:r>
    </w:p>
    <w:p>
      <w:pPr>
        <w:spacing w:after="160"/>
      </w:pPr>
      <w:r>
        <w:rPr>
          <w:sz w:val="20"/>
          <w:szCs w:val="20"/>
        </w:rPr>
        <w:t xml:space="preserve">Un argumento sin matizador suena a consigna. Incluir las condiciones en que tu tesis fallaría demuestra que consideraste el caso contrario, y eso es exactamente lo que un lector académico busca.</w:t>
      </w:r>
    </w:p>
    <w:p>
      <w:pPr>
        <w:spacing w:after="160"/>
      </w:pPr>
      <w:r>
        <w:rPr>
          <w:sz w:val="20"/>
          <w:szCs w:val="20"/>
        </w:rPr>
        <w:t xml:space="preserve">Redactar la discusión usando el esquema, del 15 al 21 de octubre.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Tesis (claim) — lo que afirmas.</w:t>
      </w:r>
    </w:p>
    <w:p>
      <w:pPr>
        <w:pStyle w:val="ListParagraph"/>
        <w:numPr>
          <w:ilvl w:val="0"/>
          <w:numId w:val="2"/>
        </w:numPr>
        <w:spacing w:after="60"/>
      </w:pPr>
      <w:r>
        <w:rPr>
          <w:sz w:val="20"/>
          <w:szCs w:val="20"/>
        </w:rPr>
        <w:t xml:space="preserve">Datos (grounds) — la evidencia en que te apoyas.</w:t>
      </w:r>
    </w:p>
    <w:p>
      <w:pPr>
        <w:pStyle w:val="ListParagraph"/>
        <w:numPr>
          <w:ilvl w:val="0"/>
          <w:numId w:val="2"/>
        </w:numPr>
        <w:spacing w:after="60"/>
      </w:pPr>
      <w:r>
        <w:rPr>
          <w:sz w:val="20"/>
          <w:szCs w:val="20"/>
        </w:rPr>
        <w:t xml:space="preserve">Garantía (warrant) — el principio que conecta los datos con la tesis.</w:t>
      </w:r>
    </w:p>
    <w:p>
      <w:pPr>
        <w:pStyle w:val="ListParagraph"/>
        <w:numPr>
          <w:ilvl w:val="0"/>
          <w:numId w:val="2"/>
        </w:numPr>
        <w:spacing w:after="60"/>
      </w:pPr>
      <w:r>
        <w:rPr>
          <w:sz w:val="20"/>
          <w:szCs w:val="20"/>
        </w:rPr>
        <w:t xml:space="preserve">Respaldo (backing) — lo que sostiene la garantía si alguien la cuestiona.</w:t>
      </w:r>
    </w:p>
    <w:p>
      <w:pPr>
        <w:pStyle w:val="ListParagraph"/>
        <w:numPr>
          <w:ilvl w:val="0"/>
          <w:numId w:val="2"/>
        </w:numPr>
        <w:spacing w:after="60"/>
      </w:pPr>
      <w:r>
        <w:rPr>
          <w:sz w:val="20"/>
          <w:szCs w:val="20"/>
        </w:rPr>
        <w:t xml:space="preserve">Matizador (qualifier) — el grado de certeza: «en la mayoría de los casos», «probablemente».</w:t>
      </w:r>
    </w:p>
    <w:p>
      <w:pPr>
        <w:pStyle w:val="ListParagraph"/>
        <w:numPr>
          <w:ilvl w:val="0"/>
          <w:numId w:val="2"/>
        </w:numPr>
        <w:spacing w:after="60"/>
      </w:pPr>
      <w:r>
        <w:rPr>
          <w:sz w:val="20"/>
          <w:szCs w:val="20"/>
        </w:rPr>
        <w:t xml:space="preserve">Refutación (rebuttal) — las condiciones bajo las que tu tesis no se sostiene.</w:t>
      </w:r>
    </w:p>
    <w:p>
      <w:pPr>
        <w:spacing w:after="60" w:before="160"/>
      </w:pPr>
      <w:r>
        <w:rPr>
          <w:b/>
          <w:bCs/>
          <w:sz w:val="20"/>
          <w:szCs w:val="20"/>
        </w:rPr>
        <w:t xml:space="preserve">Explicación — para estudiar después</w:t>
      </w:r>
    </w:p>
    <w:p>
      <w:pPr>
        <w:spacing w:after="60" w:before="160"/>
      </w:pPr>
      <w:r>
        <w:rPr>
          <w:b/>
          <w:bCs/>
          <w:sz w:val="20"/>
          <w:szCs w:val="20"/>
        </w:rPr>
        <w:t xml:space="preserve">EL ESQUEMA DE TOULMIN</w:t>
      </w:r>
    </w:p>
    <w:p>
      <w:pPr>
        <w:spacing w:after="160"/>
      </w:pPr>
      <w:r>
        <w:rPr>
          <w:sz w:val="20"/>
          <w:szCs w:val="20"/>
        </w:rPr>
        <w:t xml:space="preserve">Bajo «EL ESQUEMA DE TOULMIN» en la sesión «Unidad 4. Discusión y el modelo argumentativo de Toulmin»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Toulmin descompone cualquier argumento en piezas identificables. Sirve para escribir mejor y también para desarmar los argumentos ajenos.</w:t>
      </w:r>
    </w:p>
    <w:p>
      <w:pPr>
        <w:pStyle w:val="ListParagraph"/>
        <w:numPr>
          <w:ilvl w:val="0"/>
          <w:numId w:val="2"/>
        </w:numPr>
        <w:spacing w:after="60"/>
      </w:pPr>
      <w:r>
        <w:rPr>
          <w:sz w:val="20"/>
          <w:szCs w:val="20"/>
        </w:rPr>
        <w:t xml:space="preserve">Tesis (claim) — lo que afirmas.</w:t>
      </w:r>
    </w:p>
    <w:p>
      <w:pPr>
        <w:pStyle w:val="ListParagraph"/>
        <w:numPr>
          <w:ilvl w:val="0"/>
          <w:numId w:val="2"/>
        </w:numPr>
        <w:spacing w:after="60"/>
      </w:pPr>
      <w:r>
        <w:rPr>
          <w:sz w:val="20"/>
          <w:szCs w:val="20"/>
        </w:rPr>
        <w:t xml:space="preserve">Datos (grounds) — la evidencia en que te apoyas.</w:t>
      </w:r>
    </w:p>
    <w:p>
      <w:pPr>
        <w:pStyle w:val="ListParagraph"/>
        <w:numPr>
          <w:ilvl w:val="0"/>
          <w:numId w:val="2"/>
        </w:numPr>
        <w:spacing w:after="60"/>
      </w:pPr>
      <w:r>
        <w:rPr>
          <w:sz w:val="20"/>
          <w:szCs w:val="20"/>
        </w:rPr>
        <w:t xml:space="preserve">Garantía (warrant) — el principio que conecta los datos con la tesis.</w:t>
      </w:r>
    </w:p>
    <w:p>
      <w:pPr>
        <w:pStyle w:val="ListParagraph"/>
        <w:numPr>
          <w:ilvl w:val="0"/>
          <w:numId w:val="2"/>
        </w:numPr>
        <w:spacing w:after="60"/>
      </w:pPr>
      <w:r>
        <w:rPr>
          <w:sz w:val="20"/>
          <w:szCs w:val="20"/>
        </w:rPr>
        <w:t xml:space="preserve">Respaldo (backing) — lo que sostiene la garantía si alguien la cuestiona.</w:t>
      </w:r>
    </w:p>
    <w:p>
      <w:pPr>
        <w:pStyle w:val="ListParagraph"/>
        <w:numPr>
          <w:ilvl w:val="0"/>
          <w:numId w:val="2"/>
        </w:numPr>
        <w:spacing w:after="60"/>
      </w:pPr>
      <w:r>
        <w:rPr>
          <w:sz w:val="20"/>
          <w:szCs w:val="20"/>
        </w:rPr>
        <w:t xml:space="preserve">Matizador (qualifier) — el grado de certeza: «en la mayoría de los casos», «probablemente».</w:t>
      </w:r>
    </w:p>
    <w:p>
      <w:pPr>
        <w:pStyle w:val="ListParagraph"/>
        <w:numPr>
          <w:ilvl w:val="0"/>
          <w:numId w:val="2"/>
        </w:numPr>
        <w:spacing w:after="60"/>
      </w:pPr>
      <w:r>
        <w:rPr>
          <w:sz w:val="20"/>
          <w:szCs w:val="20"/>
        </w:rPr>
        <w:t xml:space="preserve">Refutación (rebuttal) — las condiciones bajo las que tu tesis no se sostiene.</w:t>
      </w:r>
    </w:p>
    <w:p>
      <w:pPr>
        <w:spacing w:after="60" w:before="160"/>
      </w:pPr>
      <w:r>
        <w:rPr>
          <w:b/>
          <w:bCs/>
          <w:sz w:val="20"/>
          <w:szCs w:val="20"/>
        </w:rPr>
        <w:t xml:space="preserve">UN EJEMPLO DESARMADO</w:t>
      </w:r>
    </w:p>
    <w:p>
      <w:pPr>
        <w:spacing w:after="160"/>
      </w:pPr>
      <w:r>
        <w:rPr>
          <w:sz w:val="20"/>
          <w:szCs w:val="20"/>
        </w:rPr>
        <w:t xml:space="preserve">Bajo «UN EJEMPLO DESARMADO» en la sesión «Unidad 4. Discusión y el modelo argumentativo de Toulmin»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Tesis: los sistemas de reconocimiento facial no deberían usarse solos para control de acceso. Datos: doce de veintitrés estudios reportan errores diferenciados por grupo demográfico. Garantía: un sistema de seguridad con error desigual entre grupos es inaceptable. Respaldo: principios de equidad en normativa de protección de datos. Matizador: mientras no se corrija la brecha. Refutación: salvo en entornos controlados con población homogénea y verificación secundaria.</w:t>
      </w:r>
    </w:p>
    <w:p>
      <w:pPr>
        <w:spacing w:after="60" w:before="160"/>
      </w:pPr>
      <w:r>
        <w:rPr>
          <w:b/>
          <w:bCs/>
          <w:sz w:val="20"/>
          <w:szCs w:val="20"/>
        </w:rPr>
        <w:t xml:space="preserve">POR QUÉ EL MATIZADOR Y LA REFUTACIÓN SON LOS QUE DAN SERIEDAD</w:t>
      </w:r>
    </w:p>
    <w:p>
      <w:pPr>
        <w:spacing w:after="160"/>
      </w:pPr>
      <w:r>
        <w:rPr>
          <w:sz w:val="20"/>
          <w:szCs w:val="20"/>
        </w:rPr>
        <w:t xml:space="preserve">Bajo «POR QUÉ EL MATIZADOR Y LA REFUTACIÓN SON LOS QUE DAN SERIEDAD» en la sesión «Unidad 4. Discusión y el modelo argumentativo de Toulmin»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argumento sin matizador suena a consigna. Incluir las condiciones en que tu tesis fallaría demuestra que consideraste el caso contrario, y eso es exactamente lo que un lector académico busca.</w:t>
      </w:r>
    </w:p>
    <w:p>
      <w:pPr>
        <w:spacing w:after="60" w:before="160"/>
      </w:pPr>
      <w:r>
        <w:rPr>
          <w:b/>
          <w:bCs/>
          <w:sz w:val="20"/>
          <w:szCs w:val="20"/>
        </w:rPr>
        <w:t xml:space="preserve">TRABAJO DE HOY</w:t>
      </w:r>
    </w:p>
    <w:p>
      <w:pPr>
        <w:spacing w:after="160"/>
      </w:pPr>
      <w:r>
        <w:rPr>
          <w:sz w:val="20"/>
          <w:szCs w:val="20"/>
        </w:rPr>
        <w:t xml:space="preserve">Bajo «TRABAJO DE HOY» en la sesión «Unidad 4. Discusión y el modelo argumentativo de Toulmin»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Redactar la discusión usando el esquema, del 15 al 21 de octubre.</w:t>
      </w:r>
    </w:p>
    <w:p>
      <w:pPr>
        <w:spacing w:after="160"/>
      </w:pPr>
      <w:r>
        <w:rPr>
          <w:sz w:val="20"/>
          <w:szCs w:val="20"/>
        </w:rPr>
        <w:t xml:space="preserve">• Tesis (claim) — lo que afirmas.: en el contexto de «Unidad 4. Discusión y el modelo argumentativo de Toulmin»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Datos (grounds) — la evidencia en que te apoyas.: en el contexto de «Unidad 4. Discusión y el modelo argumentativo de Toulmin»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Garantía (warrant) — el principio que conecta los datos con la tesis.: en el contexto de «Unidad 4. Discusión y el modelo argumentativo de Toulmin»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Respaldo (backing) — lo que sostiene la garantía si alguien la cuestiona.: en el contexto de «Unidad 4. Discusión y el modelo argumentativo de Toulmin»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Matizador (qualifier) — el grado de certeza: «en la mayoría de los casos», «p…: en el contexto de «Unidad 4. Discusión y el modelo argumentativo de Toulmin»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Refutación (rebuttal) — las condiciones bajo las que tu tesis no se sostiene.: en el contexto de «Unidad 4. Discusión y el modelo argumentativo de Toulmin»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«Tesis (claim) — lo que afirmas.» y por qué importa en HU109?</w:t>
      </w:r>
    </w:p>
    <w:p>
      <w:pPr>
        <w:pStyle w:val="ListParagraph"/>
        <w:numPr>
          <w:ilvl w:val="0"/>
          <w:numId w:val="2"/>
        </w:numPr>
        <w:spacing w:after="60"/>
      </w:pPr>
      <w:r>
        <w:rPr>
          <w:sz w:val="20"/>
          <w:szCs w:val="20"/>
        </w:rPr>
        <w:t xml:space="preserve">¿Qué es «Datos (grounds) — la evidencia en que te apoyas.» y por qué importa en HU109?</w:t>
      </w:r>
    </w:p>
    <w:p>
      <w:pPr>
        <w:pStyle w:val="ListParagraph"/>
        <w:numPr>
          <w:ilvl w:val="0"/>
          <w:numId w:val="2"/>
        </w:numPr>
        <w:spacing w:after="60"/>
      </w:pPr>
      <w:r>
        <w:rPr>
          <w:sz w:val="20"/>
          <w:szCs w:val="20"/>
        </w:rPr>
        <w:t xml:space="preserve">¿Qué es «Garantía (warrant) — el principio que conecta los datos con la tesis.» y por qué importa en HU109?</w:t>
      </w:r>
    </w:p>
    <w:p>
      <w:pPr>
        <w:pStyle w:val="ListParagraph"/>
        <w:numPr>
          <w:ilvl w:val="0"/>
          <w:numId w:val="2"/>
        </w:numPr>
        <w:spacing w:after="60"/>
      </w:pPr>
      <w:r>
        <w:rPr>
          <w:sz w:val="20"/>
          <w:szCs w:val="20"/>
        </w:rPr>
        <w:t xml:space="preserve">¿Qué es «Respaldo (backing) — lo que sostiene la garantía si alguien la cuestiona.» y por qué importa en HU109?</w:t>
      </w:r>
    </w:p>
    <w:p>
      <w:pPr>
        <w:pStyle w:val="ListParagraph"/>
        <w:numPr>
          <w:ilvl w:val="0"/>
          <w:numId w:val="2"/>
        </w:numPr>
        <w:spacing w:after="60"/>
      </w:pPr>
      <w:r>
        <w:rPr>
          <w:sz w:val="20"/>
          <w:szCs w:val="20"/>
        </w:rPr>
        <w:t xml:space="preserve">¿Qué es «Matizador (qualifier) — el grado de certeza: «en la mayoría de los casos», «probablemente».» y por qué importa en HU109?</w:t>
      </w:r>
    </w:p>
    <w:p>
      <w:pPr>
        <w:pStyle w:val="ListParagraph"/>
        <w:numPr>
          <w:ilvl w:val="0"/>
          <w:numId w:val="2"/>
        </w:numPr>
        <w:spacing w:after="60"/>
      </w:pPr>
      <w:r>
        <w:rPr>
          <w:sz w:val="20"/>
          <w:szCs w:val="20"/>
        </w:rPr>
        <w:t xml:space="preserve">¿Qué es «Refutación (rebuttal) — las condiciones bajo las que tu tesis no se sostiene.» y por qué importa en HU109?</w:t>
      </w:r>
    </w:p>
    <w:p>
      <w:pPr>
        <w:pStyle w:val="ListParagraph"/>
        <w:numPr>
          <w:ilvl w:val="0"/>
          <w:numId w:val="2"/>
        </w:numPr>
        <w:spacing w:after="60"/>
      </w:pPr>
      <w:r>
        <w:rPr>
          <w:sz w:val="20"/>
          <w:szCs w:val="20"/>
        </w:rPr>
        <w:t xml:space="preserve">¿Cómo se conecta «Unidad 4. Discusión y el modelo argumentativo de Toulmin»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spacing w:after="160"/>
      </w:pPr>
    </w:p>
    <w:p>
      <w:pPr>
        <w:spacing w:after="160"/>
      </w:pPr>
    </w:p>
    <w:p>
      <w:pPr>
        <w:spacing w:after="160"/>
      </w:pPr>
    </w:p>
    <w:p>
      <w:pPr>
        <w:spacing w:after="160"/>
      </w:pPr>
    </w:p>
    <w:p>
      <w:pPr>
        <w:spacing w:after="16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2026-10-20T15:50:24.282Z</dcterms:created>
  <dcterms:modified xsi:type="dcterms:W3CDTF">2026-10-20T15:50:24.282Z</dcterms:modified>
</cp:coreProperties>
</file>

<file path=docProps/custom.xml><?xml version="1.0" encoding="utf-8"?>
<Properties xmlns="http://schemas.openxmlformats.org/officeDocument/2006/custom-properties" xmlns:vt="http://schemas.openxmlformats.org/officeDocument/2006/docPropsVTypes"/>
</file>