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08-10-26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08/10/2026  ·  08:30-09:45  ·  Sesión 18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Segundo parcial · Unidades 3 y 4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SEGUNDO PARCIAL</w:t>
      </w:r>
    </w:p>
    <w:p>
      <w:r>
        <w:rPr>
          <w:rFonts w:ascii="Arial" w:hAnsi="Arial" w:cs="Arial"/>
          <w:b w:val="0"/>
          <w:i w:val="0"/>
          <w:sz w:val="20"/>
        </w:rPr>
        <w:t>Hoy se aplica el segundo parcial, que equivale al 20%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Cita, paráfrasis y resumen; diferencia entre paráfrasis legítima y plagio de forma.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Citación en texto narrativa y parentética; verbos de reporte.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Estado de la cuestión: agrupación de fuentes y detección del vacío.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Protocolo de investigación: partes y formulación de objetivos.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Características textuales del artículo de revisión.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 ENTREGADO HOY</w:t>
      </w:r>
    </w:p>
    <w:p>
      <w:r>
        <w:rPr>
          <w:rFonts w:ascii="Arial" w:hAnsi="Arial" w:cs="Arial"/>
          <w:b w:val="0"/>
          <w:i w:val="0"/>
          <w:sz w:val="20"/>
        </w:rPr>
        <w:t>Reporte 2 de «Todo lo de cristal», 10% del segundo parcial.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A partir de ahora la clase se vuelve taller: cada sesión se escribe una sección del artículo, y las cinco se suman en el borrador del 30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