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cs="Arial"/>
          <w:b/>
          <w:i w:val="0"/>
          <w:sz w:val="24"/>
        </w:rPr>
        <w:t>GUÍA 01-09-26 Escritura Académica</w:t>
      </w:r>
    </w:p>
    <w:p>
      <w:pPr>
        <w:spacing w:after="40"/>
        <w:jc w:val="center"/>
      </w:pPr>
      <w:r>
        <w:rPr>
          <w:rFonts w:ascii="Arial" w:hAnsi="Arial" w:cs="Arial"/>
          <w:b w:val="0"/>
          <w:i/>
          <w:color w:val="595959"/>
          <w:sz w:val="18"/>
        </w:rPr>
        <w:t>HU109  ·  martes 01/09/2026  ·  08:30-09:45  ·  Sesión 7</w:t>
      </w:r>
    </w:p>
    <w:p>
      <w:pPr>
        <w:spacing w:after="160"/>
        <w:jc w:val="center"/>
      </w:pPr>
      <w:r>
        <w:rPr>
          <w:rFonts w:ascii="Arial" w:hAnsi="Arial" w:cs="Arial"/>
          <w:b/>
          <w:i w:val="0"/>
          <w:sz w:val="22"/>
        </w:rPr>
        <w:t>Unidad 2. La lectura crítica de artículos académicos y científicos</w:t>
      </w:r>
    </w:p>
    <w:p>
      <w:pPr>
        <w:spacing w:before="120" w:after="120"/>
        <w:pBdr>
          <w:bottom w:val="single" w:sz="6" w:space="1" w:color="BFBFBF"/>
        </w:pBdr>
      </w:pPr>
    </w:p>
    <w:p>
      <w:pPr>
        <w:spacing w:after="60" w:before="160"/>
      </w:pPr>
      <w:r>
        <w:rPr>
          <w:rFonts w:ascii="Arial" w:hAnsi="Arial" w:cs="Arial"/>
          <w:b/>
          <w:i w:val="0"/>
          <w:sz w:val="20"/>
        </w:rPr>
        <w:t>LEER UN ARTÍCULO NO ES LEER UN LIBRO</w:t>
      </w:r>
    </w:p>
    <w:p>
      <w:r>
        <w:rPr>
          <w:rFonts w:ascii="Arial" w:hAnsi="Arial" w:cs="Arial"/>
          <w:b w:val="0"/>
          <w:i w:val="0"/>
          <w:sz w:val="20"/>
        </w:rPr>
        <w:t>Un artículo científico tiene una estructura fija porque está diseñado para ser evaluado, no para ser disfrutado. Conocer la estructura permite leerlo en el orden que te conviene, no en el orden en que está impreso.</w:t>
      </w:r>
    </w:p>
    <w:p>
      <w:pPr>
        <w:spacing w:after="60" w:before="160"/>
      </w:pPr>
      <w:r>
        <w:rPr>
          <w:rFonts w:ascii="Arial" w:hAnsi="Arial" w:cs="Arial"/>
          <w:b/>
          <w:i w:val="0"/>
          <w:sz w:val="20"/>
        </w:rPr>
        <w:t>LA ESTRUCTURA IMRYD</w:t>
      </w:r>
    </w:p>
    <w:p>
      <w:pPr>
        <w:pStyle w:val="ListBullet"/>
        <w:spacing w:after="60"/>
        <w:ind w:left="340"/>
      </w:pPr>
      <w:r>
        <w:rPr>
          <w:rFonts w:ascii="Arial" w:hAnsi="Arial" w:cs="Arial"/>
          <w:b w:val="0"/>
          <w:i w:val="0"/>
          <w:sz w:val="20"/>
        </w:rPr>
        <w:t>Introducción — qué problema, qué se sabe, qué falta, qué hace este trabajo.</w:t>
      </w:r>
    </w:p>
    <w:p>
      <w:pPr>
        <w:pStyle w:val="ListBullet"/>
        <w:spacing w:after="60"/>
        <w:ind w:left="340"/>
      </w:pPr>
      <w:r>
        <w:rPr>
          <w:rFonts w:ascii="Arial" w:hAnsi="Arial" w:cs="Arial"/>
          <w:b w:val="0"/>
          <w:i w:val="0"/>
          <w:sz w:val="20"/>
        </w:rPr>
        <w:t>Método — qué hicieron exactamente, de modo que otro pueda repetirlo.</w:t>
      </w:r>
    </w:p>
    <w:p>
      <w:pPr>
        <w:pStyle w:val="ListBullet"/>
        <w:spacing w:after="60"/>
        <w:ind w:left="340"/>
      </w:pPr>
      <w:r>
        <w:rPr>
          <w:rFonts w:ascii="Arial" w:hAnsi="Arial" w:cs="Arial"/>
          <w:b w:val="0"/>
          <w:i w:val="0"/>
          <w:sz w:val="20"/>
        </w:rPr>
        <w:t>Resultados — qué salió, sin interpretar.</w:t>
      </w:r>
    </w:p>
    <w:p>
      <w:pPr>
        <w:pStyle w:val="ListBullet"/>
        <w:spacing w:after="60"/>
        <w:ind w:left="340"/>
      </w:pPr>
      <w:r>
        <w:rPr>
          <w:rFonts w:ascii="Arial" w:hAnsi="Arial" w:cs="Arial"/>
          <w:b w:val="0"/>
          <w:i w:val="0"/>
          <w:sz w:val="20"/>
        </w:rPr>
        <w:t>Discusión — qué significa, con qué limitaciones, qué sigue.</w:t>
      </w:r>
    </w:p>
    <w:p>
      <w:r>
        <w:rPr>
          <w:rFonts w:ascii="Arial" w:hAnsi="Arial" w:cs="Arial"/>
          <w:b w:val="0"/>
          <w:i w:val="0"/>
          <w:sz w:val="20"/>
        </w:rPr>
        <w:t>El resumen es la versión comprimida de esas cuatro partes; las conclusiones no son un resumen, son la respuesta a la pregunta de la introducción.</w:t>
      </w:r>
    </w:p>
    <w:p>
      <w:pPr>
        <w:spacing w:after="60" w:before="160"/>
      </w:pPr>
      <w:r>
        <w:rPr>
          <w:rFonts w:ascii="Arial" w:hAnsi="Arial" w:cs="Arial"/>
          <w:b/>
          <w:i w:val="0"/>
          <w:sz w:val="20"/>
        </w:rPr>
        <w:t>DÓNDE ESTÁ EL APORTE</w:t>
      </w:r>
    </w:p>
    <w:p>
      <w:r>
        <w:rPr>
          <w:rFonts w:ascii="Arial" w:hAnsi="Arial" w:cs="Arial"/>
          <w:b w:val="0"/>
          <w:i w:val="0"/>
          <w:sz w:val="20"/>
        </w:rPr>
        <w:t>El aporte casi siempre está en el último párrafo de la introducción, formulado como «en este trabajo proponemos / evaluamos / comparamos». Localizarlo primero ahorra media hora de lectura.</w:t>
      </w:r>
    </w:p>
    <w:p>
      <w:pPr>
        <w:spacing w:after="60" w:before="160"/>
      </w:pPr>
      <w:r>
        <w:rPr>
          <w:rFonts w:ascii="Arial" w:hAnsi="Arial" w:cs="Arial"/>
          <w:b/>
          <w:i w:val="0"/>
          <w:sz w:val="20"/>
        </w:rPr>
        <w:t>PREGUNTAS DE LECTURA CRÍTICA</w:t>
      </w:r>
    </w:p>
    <w:p>
      <w:pPr>
        <w:spacing w:after="60"/>
        <w:ind w:left="340"/>
      </w:pPr>
      <w:r>
        <w:rPr>
          <w:rFonts w:ascii="Arial" w:hAnsi="Arial" w:cs="Arial"/>
          <w:b w:val="0"/>
          <w:i w:val="0"/>
          <w:sz w:val="20"/>
        </w:rPr>
        <w:t>1. ¿La pregunta está claramente formulada?</w:t>
      </w:r>
    </w:p>
    <w:p>
      <w:pPr>
        <w:spacing w:after="60"/>
        <w:ind w:left="340"/>
      </w:pPr>
      <w:r>
        <w:rPr>
          <w:rFonts w:ascii="Arial" w:hAnsi="Arial" w:cs="Arial"/>
          <w:b w:val="0"/>
          <w:i w:val="0"/>
          <w:sz w:val="20"/>
        </w:rPr>
        <w:t>2. ¿El método puede responder esa pregunta, o responde otra?</w:t>
      </w:r>
    </w:p>
    <w:p>
      <w:pPr>
        <w:spacing w:after="60"/>
        <w:ind w:left="340"/>
      </w:pPr>
      <w:r>
        <w:rPr>
          <w:rFonts w:ascii="Arial" w:hAnsi="Arial" w:cs="Arial"/>
          <w:b w:val="0"/>
          <w:i w:val="0"/>
          <w:sz w:val="20"/>
        </w:rPr>
        <w:t>3. ¿Los datos sostienen las conclusiones o las exceden?</w:t>
      </w:r>
    </w:p>
    <w:p>
      <w:pPr>
        <w:spacing w:after="60"/>
        <w:ind w:left="340"/>
      </w:pPr>
      <w:r>
        <w:rPr>
          <w:rFonts w:ascii="Arial" w:hAnsi="Arial" w:cs="Arial"/>
          <w:b w:val="0"/>
          <w:i w:val="0"/>
          <w:sz w:val="20"/>
        </w:rPr>
        <w:t>4. ¿Qué limitaciones reconocen y cuáles callan?</w:t>
      </w:r>
    </w:p>
    <w:p>
      <w:pPr>
        <w:spacing w:after="60"/>
        <w:ind w:left="340"/>
      </w:pPr>
      <w:r>
        <w:rPr>
          <w:rFonts w:ascii="Arial" w:hAnsi="Arial" w:cs="Arial"/>
          <w:b w:val="0"/>
          <w:i w:val="0"/>
          <w:sz w:val="20"/>
        </w:rPr>
        <w:t>5. ¿A quién citan y a quién omiten?</w:t>
      </w:r>
    </w:p>
    <w:p>
      <w:pPr>
        <w:spacing w:after="60" w:before="160"/>
      </w:pPr>
      <w:r>
        <w:rPr>
          <w:rFonts w:ascii="Arial" w:hAnsi="Arial" w:cs="Arial"/>
          <w:b/>
          <w:i w:val="0"/>
          <w:sz w:val="20"/>
        </w:rPr>
        <w:t>EL ARTÍCULO DE REVISIÓN ES DISTINTO</w:t>
      </w:r>
    </w:p>
    <w:p>
      <w:r>
        <w:rPr>
          <w:rFonts w:ascii="Arial" w:hAnsi="Arial" w:cs="Arial"/>
          <w:b w:val="0"/>
          <w:i w:val="0"/>
          <w:sz w:val="20"/>
        </w:rPr>
        <w:t>No reporta un experimento propio: reporta el estado de una conversación. Su método es la selección y la organización de las fuentes, y por eso debe explicitarse cómo se eligieron.</w:t>
      </w:r>
    </w:p>
    <w:p>
      <w:pPr>
        <w:spacing w:after="60" w:before="160"/>
      </w:pPr>
      <w:r>
        <w:rPr>
          <w:rFonts w:ascii="Arial" w:hAnsi="Arial" w:cs="Arial"/>
          <w:b/>
          <w:i w:val="0"/>
          <w:sz w:val="20"/>
        </w:rPr>
        <w:t>TAREA</w:t>
      </w:r>
    </w:p>
    <w:p>
      <w:r>
        <w:rPr>
          <w:rFonts w:ascii="Arial" w:hAnsi="Arial" w:cs="Arial"/>
          <w:b w:val="0"/>
          <w:i w:val="0"/>
          <w:sz w:val="20"/>
        </w:rPr>
        <w:t>Caracterizar la estructura general del artículo: identificar en dos de tus fuentes cada sección del IMRyD y marcar dónde está el aporte.</w:t>
      </w:r>
    </w:p>
    <w:sectPr w:rsidR="00FC693F" w:rsidRPr="0006063C" w:rsidSect="00034616">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cs="Arial" w:eastAsia="Arial"/>
      <w:sz w:val="20"/>
      <w:lang w:val="es-MX"/>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