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14-09-26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14/09/2026  ·  18:00-19:40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2 · Dispositivos lógicos programables simples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EXISTEN</w:t>
      </w:r>
    </w:p>
    <w:p>
      <w:r>
        <w:rPr>
          <w:rFonts w:ascii="Arial" w:hAnsi="Arial" w:cs="Arial"/>
          <w:b w:val="0"/>
          <w:i w:val="0"/>
          <w:sz w:val="20"/>
        </w:rPr>
        <w:t>Entre un circuito integrado de función fija y un ASIC de diseño completo hay un espacio enorme. Los dispositivos programables lo ocupan: hardware genérico que se configura para una función específica.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EVOLUCIÓN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PROM — decodificador completo más matriz OR programable. Implementa cualquier función pero crece exponencialmente con las entradas.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PAL — matriz AND programable y matriz OR fija. Más eficiente para funciones con pocos términos producto.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PLA — ambas matrices programables. Más flexible, más lenta y más cara.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GAL — como la PAL pero reprogramable eléctricamente, con macroceldas de salida configurables.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MACROCELDA</w:t>
      </w:r>
    </w:p>
    <w:p>
      <w:r>
        <w:rPr>
          <w:rFonts w:ascii="Arial" w:hAnsi="Arial" w:cs="Arial"/>
          <w:b w:val="0"/>
          <w:i w:val="0"/>
          <w:sz w:val="20"/>
        </w:rPr>
        <w:t>Es lo que convierte a un PLD en algo útil: agrega un flip-flop opcional a la salida, un multiplexor para elegir entre salida registrada o combinacional, y un buffer de tres estados con realimentación. Con eso el dispositivo puede implementar lógica secuencial, no solo combinacional.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SUMA DE PRODUCTOS</w:t>
      </w:r>
    </w:p>
    <w:p>
      <w:r>
        <w:rPr>
          <w:rFonts w:ascii="Arial" w:hAnsi="Arial" w:cs="Arial"/>
          <w:b w:val="0"/>
          <w:i w:val="0"/>
          <w:sz w:val="20"/>
        </w:rPr>
        <w:t>La arquitectura impone la forma de la función: todo se implementa como suma de productos. Por eso importa minimizar con mapas de Karnaugh o Quine-McCluskey antes de mapear a un PLD: cada término producto consume una fila de la matriz, que es un recurso contado.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LIMITACIONES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Número fijo y pequeño de términos producto por salida.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Poca capacidad total: decenas o cientos de compuertas equivalentes.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recursos dedicados de memoria ni de aritmética.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SIGUEN USÁNDOSE</w:t>
      </w:r>
    </w:p>
    <w:p>
      <w:r>
        <w:rPr>
          <w:rFonts w:ascii="Arial" w:hAnsi="Arial" w:cs="Arial"/>
          <w:b w:val="0"/>
          <w:i w:val="0"/>
          <w:sz w:val="20"/>
        </w:rPr>
        <w:t>En lógica de pegamento: decodificación de direcciones, adaptación de niveles, secuencias de encendido. Son baratos, rápidos y no volátiles, y para eso siguen siendo la opción correcta.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Minimizar tres funciones booleanas y determinar cuántos términos producto requiere cada una; leer Mano capítulo 7.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