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07-10-26 Teoría de la Computación</w:t>
      </w:r>
    </w:p>
    <w:p>
      <w:pPr>
        <w:spacing w:after="160"/>
        <w:jc w:val="center"/>
      </w:pPr>
      <w:r>
        <w:rPr>
          <w:i/>
          <w:iCs/>
          <w:color w:val="595959"/>
          <w:sz w:val="18"/>
          <w:szCs w:val="18"/>
        </w:rPr>
        <w:t xml:space="preserve">NE111  ·  miércoles 07/10/2026  ·  16:00-17:15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«Expresiones regulares». Según la guía del maestro, lo central es: ∅ es una ER que denota el lenguaje vacío.; ε es una ER que denota {ε}.; a es una ER que denota {a}, para cada a ∈ Σ.; (0+1)* — todas las cadenas..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Expresiones regulares</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160"/>
      </w:pPr>
      <w:r>
        <w:rPr>
          <w:sz w:val="20"/>
          <w:szCs w:val="20"/>
        </w:rPr>
        <w:t xml:space="preserve">La estrella liga más fuerte que la concatenación, y ésta más que la unión. Así ab*+c se lee (a(b*))+c. Ante la duda, paréntesis.</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160"/>
      </w:pPr>
      <w:r>
        <w:rPr>
          <w:sz w:val="20"/>
          <w:szCs w:val="20"/>
        </w:rPr>
        <w:t xml:space="preserve">Escribir ER para: número par de ceros; que no contenga 101; longitud múltiplo de 3; identificadores válidos de un lenguaje de programación.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Explicación — para estudiar después</w:t>
      </w:r>
    </w:p>
    <w:p>
      <w:pPr>
        <w:spacing w:after="60" w:before="160"/>
      </w:pPr>
      <w:r>
        <w:rPr>
          <w:b/>
          <w:bCs/>
          <w:sz w:val="20"/>
          <w:szCs w:val="20"/>
        </w:rPr>
        <w:t xml:space="preserve">DESCRIBIR EN VEZ DE RECONOCER</w:t>
      </w:r>
    </w:p>
    <w:p>
      <w:pPr>
        <w:spacing w:after="160"/>
      </w:pPr>
      <w:r>
        <w:rPr>
          <w:sz w:val="20"/>
          <w:szCs w:val="20"/>
        </w:rPr>
        <w:t xml:space="preserve">Bajo «DESCRIBIR EN VEZ DE RECONOCER»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expresión regular describe un lenguaje mediante una fórmula. Es la contraparte declarativa de los autómatas, que lo reconocen operacionalmente. Ambas capturan exactamente la misma clase.</w:t>
      </w:r>
    </w:p>
    <w:p>
      <w:pPr>
        <w:spacing w:after="60" w:before="160"/>
      </w:pPr>
      <w:r>
        <w:rPr>
          <w:b/>
          <w:bCs/>
          <w:sz w:val="20"/>
          <w:szCs w:val="20"/>
        </w:rPr>
        <w:t xml:space="preserve">DEFINICIÓN INDUCTIVA</w:t>
      </w:r>
    </w:p>
    <w:p>
      <w:pPr>
        <w:spacing w:after="160"/>
      </w:pPr>
      <w:r>
        <w:rPr>
          <w:sz w:val="20"/>
          <w:szCs w:val="20"/>
        </w:rPr>
        <w:t xml:space="preserve">Bajo «DEFINICIÓN INDUCTIVA»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Casos base:</w:t>
      </w:r>
    </w:p>
    <w:p>
      <w:pPr>
        <w:pStyle w:val="ListParagraph"/>
        <w:numPr>
          <w:ilvl w:val="0"/>
          <w:numId w:val="2"/>
        </w:numPr>
        <w:spacing w:after="60"/>
      </w:pPr>
      <w:r>
        <w:rPr>
          <w:sz w:val="20"/>
          <w:szCs w:val="20"/>
        </w:rPr>
        <w:t xml:space="preserve">∅ es una ER que denota el lenguaje vacío.</w:t>
      </w:r>
    </w:p>
    <w:p>
      <w:pPr>
        <w:pStyle w:val="ListParagraph"/>
        <w:numPr>
          <w:ilvl w:val="0"/>
          <w:numId w:val="2"/>
        </w:numPr>
        <w:spacing w:after="60"/>
      </w:pPr>
      <w:r>
        <w:rPr>
          <w:sz w:val="20"/>
          <w:szCs w:val="20"/>
        </w:rPr>
        <w:t xml:space="preserve">ε es una ER que denota {ε}.</w:t>
      </w:r>
    </w:p>
    <w:p>
      <w:pPr>
        <w:pStyle w:val="ListParagraph"/>
        <w:numPr>
          <w:ilvl w:val="0"/>
          <w:numId w:val="2"/>
        </w:numPr>
        <w:spacing w:after="60"/>
      </w:pPr>
      <w:r>
        <w:rPr>
          <w:sz w:val="20"/>
          <w:szCs w:val="20"/>
        </w:rPr>
        <w:t xml:space="preserve">a es una ER que denota {a}, para cada a ∈ Σ.</w:t>
      </w:r>
    </w:p>
    <w:p>
      <w:pPr>
        <w:spacing w:after="160"/>
      </w:pPr>
      <w:r>
        <w:rPr>
          <w:sz w:val="20"/>
          <w:szCs w:val="20"/>
        </w:rPr>
        <w:t xml:space="preserve">Casos inductivos: si r y s son ER, también lo son r+s (unión), rs (concatenación), r* (estrella) y (r).</w:t>
      </w:r>
    </w:p>
    <w:p>
      <w:pPr>
        <w:spacing w:after="160"/>
      </w:pPr>
      <w:r>
        <w:rPr>
          <w:sz w:val="20"/>
          <w:szCs w:val="20"/>
        </w:rPr>
        <w:t xml:space="preserve">Es otra definición recursiva, la tercera del curso. Y como toda definición recursiva, trae asociado su principio de inducción estructural para demostrar propiedades.</w:t>
      </w:r>
    </w:p>
    <w:p>
      <w:pPr>
        <w:spacing w:after="60" w:before="160"/>
      </w:pPr>
      <w:r>
        <w:rPr>
          <w:b/>
          <w:bCs/>
          <w:sz w:val="20"/>
          <w:szCs w:val="20"/>
        </w:rPr>
        <w:t xml:space="preserve">PRECEDENCIA</w:t>
      </w:r>
    </w:p>
    <w:p>
      <w:pPr>
        <w:spacing w:after="160"/>
      </w:pPr>
      <w:r>
        <w:rPr>
          <w:sz w:val="20"/>
          <w:szCs w:val="20"/>
        </w:rPr>
        <w:t xml:space="preserve">Bajo «PRECEDENCIA»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estrella liga más fuerte que la concatenación, y ésta más que la unión. Así ab*+c se lee (a(b*))+c. Ante la duda, paréntesis.</w:t>
      </w:r>
    </w:p>
    <w:p>
      <w:pPr>
        <w:spacing w:after="60" w:before="160"/>
      </w:pPr>
      <w:r>
        <w:rPr>
          <w:b/>
          <w:bCs/>
          <w:sz w:val="20"/>
          <w:szCs w:val="20"/>
        </w:rPr>
        <w:t xml:space="preserve">EJEMPLOS SOBRE {0,1}</w:t>
      </w:r>
    </w:p>
    <w:p>
      <w:pPr>
        <w:spacing w:after="160"/>
      </w:pPr>
      <w:r>
        <w:rPr>
          <w:sz w:val="20"/>
          <w:szCs w:val="20"/>
        </w:rPr>
        <w:t xml:space="preserve">Bajo «EJEMPLOS SOBRE {0,1}»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(0+1)* — todas las cadenas.</w:t>
      </w:r>
    </w:p>
    <w:p>
      <w:pPr>
        <w:pStyle w:val="ListParagraph"/>
        <w:numPr>
          <w:ilvl w:val="0"/>
          <w:numId w:val="2"/>
        </w:numPr>
        <w:spacing w:after="60"/>
      </w:pPr>
      <w:r>
        <w:rPr>
          <w:sz w:val="20"/>
          <w:szCs w:val="20"/>
        </w:rPr>
        <w:t xml:space="preserve">(0+1)*01 — las que terminan en 01.</w:t>
      </w:r>
    </w:p>
    <w:p>
      <w:pPr>
        <w:pStyle w:val="ListParagraph"/>
        <w:numPr>
          <w:ilvl w:val="0"/>
          <w:numId w:val="2"/>
        </w:numPr>
        <w:spacing w:after="60"/>
      </w:pPr>
      <w:r>
        <w:rPr>
          <w:sz w:val="20"/>
          <w:szCs w:val="20"/>
        </w:rPr>
        <w:t xml:space="preserve">0*10*10* — las que tienen exactamente dos unos.</w:t>
      </w:r>
    </w:p>
    <w:p>
      <w:pPr>
        <w:pStyle w:val="ListParagraph"/>
        <w:numPr>
          <w:ilvl w:val="0"/>
          <w:numId w:val="2"/>
        </w:numPr>
        <w:spacing w:after="60"/>
      </w:pPr>
      <w:r>
        <w:rPr>
          <w:sz w:val="20"/>
          <w:szCs w:val="20"/>
        </w:rPr>
        <w:t xml:space="preserve">(0+1)*11(0+1)* — las que contienen 11.</w:t>
      </w:r>
    </w:p>
    <w:p>
      <w:pPr>
        <w:pStyle w:val="ListParagraph"/>
        <w:numPr>
          <w:ilvl w:val="0"/>
          <w:numId w:val="2"/>
        </w:numPr>
        <w:spacing w:after="60"/>
      </w:pPr>
      <w:r>
        <w:rPr>
          <w:sz w:val="20"/>
          <w:szCs w:val="20"/>
        </w:rPr>
        <w:t xml:space="preserve">(01)* — alternancias que empiezan en 0 y terminan en 1, más ε.</w:t>
      </w:r>
    </w:p>
    <w:p>
      <w:pPr>
        <w:spacing w:after="60" w:before="160"/>
      </w:pPr>
      <w:r>
        <w:rPr>
          <w:b/>
          <w:bCs/>
          <w:sz w:val="20"/>
          <w:szCs w:val="20"/>
        </w:rPr>
        <w:t xml:space="preserve">IDENTIDADES ÚTILES</w:t>
      </w:r>
    </w:p>
    <w:p>
      <w:pPr>
        <w:spacing w:after="160"/>
      </w:pPr>
      <w:r>
        <w:rPr>
          <w:sz w:val="20"/>
          <w:szCs w:val="20"/>
        </w:rPr>
        <w:t xml:space="preserve">Bajo «IDENTIDADES ÚTILES»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 + ∅ = r  ·  r∅ = ∅  ·  rε = r</w:t>
      </w:r>
    </w:p>
    <w:p>
      <w:pPr>
        <w:pStyle w:val="ListParagraph"/>
        <w:numPr>
          <w:ilvl w:val="0"/>
          <w:numId w:val="2"/>
        </w:numPr>
        <w:spacing w:after="60"/>
      </w:pPr>
      <w:r>
        <w:rPr>
          <w:sz w:val="20"/>
          <w:szCs w:val="20"/>
        </w:rPr>
        <w:t xml:space="preserve">(r*)* = r*  ·  ∅* = ε  ·  (ε + r)* = r*</w:t>
      </w:r>
    </w:p>
    <w:p>
      <w:pPr>
        <w:pStyle w:val="ListParagraph"/>
        <w:numPr>
          <w:ilvl w:val="0"/>
          <w:numId w:val="2"/>
        </w:numPr>
        <w:spacing w:after="60"/>
      </w:pPr>
      <w:r>
        <w:rPr>
          <w:sz w:val="20"/>
          <w:szCs w:val="20"/>
        </w:rPr>
        <w:t xml:space="preserve">r(s + t) = rs + rt</w:t>
      </w:r>
    </w:p>
    <w:p>
      <w:pPr>
        <w:spacing w:after="60" w:before="160"/>
      </w:pPr>
      <w:r>
        <w:rPr>
          <w:b/>
          <w:bCs/>
          <w:sz w:val="20"/>
          <w:szCs w:val="20"/>
        </w:rPr>
        <w:t xml:space="preserve">DÓNDE SE USAN DE VERDAD</w:t>
      </w:r>
    </w:p>
    <w:p>
      <w:pPr>
        <w:spacing w:after="160"/>
      </w:pPr>
      <w:r>
        <w:rPr>
          <w:sz w:val="20"/>
          <w:szCs w:val="20"/>
        </w:rPr>
        <w:t xml:space="preserve">Bajo «DÓNDE SE USAN DE VERDAD»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Búsqueda de patrones, validación de formatos, y sobre todo la especificación de los componentes léxicos de un lenguaje de programación, que es a donde va este bloque.</w:t>
      </w:r>
    </w:p>
    <w:p>
      <w:pPr>
        <w:spacing w:after="60" w:before="160"/>
      </w:pPr>
      <w:r>
        <w:rPr>
          <w:b/>
          <w:bCs/>
          <w:sz w:val="20"/>
          <w:szCs w:val="20"/>
        </w:rPr>
        <w:t xml:space="preserve">ADVERTENCIA SOBRE LAS REGEX DE LOS LENGUAJES</w:t>
      </w:r>
    </w:p>
    <w:p>
      <w:pPr>
        <w:spacing w:after="160"/>
      </w:pPr>
      <w:r>
        <w:rPr>
          <w:sz w:val="20"/>
          <w:szCs w:val="20"/>
        </w:rPr>
        <w:t xml:space="preserve">Bajo «ADVERTENCIA SOBRE LAS REGEX DE LOS LENGUAJES»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expresiones regulares de Perl, Python o JavaScript incluyen retroreferencias y lookahead, que exceden lo que un autómata finito puede reconocer. Formalmente ya no son expresiones regulares. Es un abuso de nombre cómodo, pero en este curso la distinción importa.</w:t>
      </w:r>
    </w:p>
    <w:p>
      <w:pPr>
        <w:spacing w:after="60" w:before="160"/>
      </w:pPr>
      <w:r>
        <w:rPr>
          <w:b/>
          <w:bCs/>
          <w:sz w:val="20"/>
          <w:szCs w:val="20"/>
        </w:rPr>
        <w:t xml:space="preserve">EJERCICIO</w:t>
      </w:r>
    </w:p>
    <w:p>
      <w:pPr>
        <w:spacing w:after="160"/>
      </w:pPr>
      <w:r>
        <w:rPr>
          <w:sz w:val="20"/>
          <w:szCs w:val="20"/>
        </w:rPr>
        <w:t xml:space="preserve">Bajo «EJERCICIO» en la sesión «Expresiones regulares»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Escribir ER para: número par de ceros; que no contenga 101; longitud múltiplo de 3; identificadores válidos de un lenguaje de programación.</w:t>
      </w:r>
    </w:p>
    <w:p>
      <w:pPr>
        <w:spacing w:after="160"/>
      </w:pPr>
      <w:r>
        <w:rPr>
          <w:sz w:val="20"/>
          <w:szCs w:val="20"/>
        </w:rPr>
        <w:t xml:space="preserve">• ∅ es una ER que denota el lenguaje vacío.: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ε es una ER que denota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 es una ER que denota {a}, para cada a ∈ Σ.: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todas las cadenas.: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 — las que terminan en 01.: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0*10*10* — las que tienen exactamente dos unos.: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(0+1)*11(0+1)* — las que contienen 11.: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(01)* — alternancias que empiezan en 0 y terminan en 1, más ε.: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 = r  ·  r∅ = ∅  ·  rε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 = r*  ·  ∅* = ε  ·  (ε + r)* = r*: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r(s + t) = rs + rt: en el contexto de «Expresiones regulares»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es una ER que denota el lenguaje vacío.» y por qué importa en NE111?</w:t>
      </w:r>
    </w:p>
    <w:p>
      <w:pPr>
        <w:pStyle w:val="ListParagraph"/>
        <w:numPr>
          <w:ilvl w:val="0"/>
          <w:numId w:val="2"/>
        </w:numPr>
        <w:spacing w:after="60"/>
      </w:pPr>
      <w:r>
        <w:rPr>
          <w:sz w:val="20"/>
          <w:szCs w:val="20"/>
        </w:rPr>
        <w:t xml:space="preserve">¿Qué es «ε es una ER que denota {ε}.» y por qué importa en NE111?</w:t>
      </w:r>
    </w:p>
    <w:p>
      <w:pPr>
        <w:pStyle w:val="ListParagraph"/>
        <w:numPr>
          <w:ilvl w:val="0"/>
          <w:numId w:val="2"/>
        </w:numPr>
        <w:spacing w:after="60"/>
      </w:pPr>
      <w:r>
        <w:rPr>
          <w:sz w:val="20"/>
          <w:szCs w:val="20"/>
        </w:rPr>
        <w:t xml:space="preserve">¿Qué es «a es una ER que denota {a}, para cada a ∈ Σ.» y por qué importa en NE111?</w:t>
      </w:r>
    </w:p>
    <w:p>
      <w:pPr>
        <w:pStyle w:val="ListParagraph"/>
        <w:numPr>
          <w:ilvl w:val="0"/>
          <w:numId w:val="2"/>
        </w:numPr>
        <w:spacing w:after="60"/>
      </w:pPr>
      <w:r>
        <w:rPr>
          <w:sz w:val="20"/>
          <w:szCs w:val="20"/>
        </w:rPr>
        <w:t xml:space="preserve">¿Qué es «(0+1)* — todas las cadenas.» y por qué importa en NE111?</w:t>
      </w:r>
    </w:p>
    <w:p>
      <w:pPr>
        <w:pStyle w:val="ListParagraph"/>
        <w:numPr>
          <w:ilvl w:val="0"/>
          <w:numId w:val="2"/>
        </w:numPr>
        <w:spacing w:after="60"/>
      </w:pPr>
      <w:r>
        <w:rPr>
          <w:sz w:val="20"/>
          <w:szCs w:val="20"/>
        </w:rPr>
        <w:t xml:space="preserve">¿Qué es «(0+1)*01 — las que terminan en 01.» y por qué importa en NE111?</w:t>
      </w:r>
    </w:p>
    <w:p>
      <w:pPr>
        <w:pStyle w:val="ListParagraph"/>
        <w:numPr>
          <w:ilvl w:val="0"/>
          <w:numId w:val="2"/>
        </w:numPr>
        <w:spacing w:after="60"/>
      </w:pPr>
      <w:r>
        <w:rPr>
          <w:sz w:val="20"/>
          <w:szCs w:val="20"/>
        </w:rPr>
        <w:t xml:space="preserve">¿Qué es «0*10*10* — las que tienen exactamente dos unos.» y por qué importa en NE111?</w:t>
      </w:r>
    </w:p>
    <w:p>
      <w:pPr>
        <w:pStyle w:val="ListParagraph"/>
        <w:numPr>
          <w:ilvl w:val="0"/>
          <w:numId w:val="2"/>
        </w:numPr>
        <w:spacing w:after="60"/>
      </w:pPr>
      <w:r>
        <w:rPr>
          <w:sz w:val="20"/>
          <w:szCs w:val="20"/>
        </w:rPr>
        <w:t xml:space="preserve">¿Qué es «(0+1)*11(0+1)* — las que contienen 11.» y por qué importa en NE111?</w:t>
      </w:r>
    </w:p>
    <w:p>
      <w:pPr>
        <w:pStyle w:val="ListParagraph"/>
        <w:numPr>
          <w:ilvl w:val="0"/>
          <w:numId w:val="2"/>
        </w:numPr>
        <w:spacing w:after="60"/>
      </w:pPr>
      <w:r>
        <w:rPr>
          <w:sz w:val="20"/>
          <w:szCs w:val="20"/>
        </w:rPr>
        <w:t xml:space="preserve">¿Qué es «(01)* — alternancias que empiezan en 0 y terminan en 1, más ε.» y por qué importa en NE111?</w:t>
      </w:r>
    </w:p>
    <w:p>
      <w:pPr>
        <w:pStyle w:val="ListParagraph"/>
        <w:numPr>
          <w:ilvl w:val="0"/>
          <w:numId w:val="2"/>
        </w:numPr>
        <w:spacing w:after="60"/>
      </w:pPr>
      <w:r>
        <w:rPr>
          <w:sz w:val="20"/>
          <w:szCs w:val="20"/>
        </w:rPr>
        <w:t xml:space="preserve">¿Cómo se conecta «Expresiones regulares»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2026-10-07T23:20:05.712Z</dcterms:created>
  <dcterms:modified xsi:type="dcterms:W3CDTF">2026-10-07T23:20:05.712Z</dcterms:modified>
</cp:coreProperties>
</file>

<file path=docProps/custom.xml><?xml version="1.0" encoding="utf-8"?>
<Properties xmlns="http://schemas.openxmlformats.org/officeDocument/2006/custom-properties" xmlns:vt="http://schemas.openxmlformats.org/officeDocument/2006/docPropsVTypes"/>
</file>