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09-09-26 Teoría de la Computación</w:t>
      </w:r>
    </w:p>
    <w:p>
      <w:pPr>
        <w:spacing w:after="200"/>
        <w:jc w:val="center"/>
      </w:pPr>
      <w:r>
        <w:rPr>
          <w:i/>
          <w:iCs/>
          <w:color w:val="595959"/>
          <w:sz w:val="18"/>
          <w:szCs w:val="18"/>
        </w:rPr>
        <w:t xml:space="preserve">NE111  ·  miércoles 09/09/2026  ·  16:00-17:15</w:t>
      </w:r>
    </w:p>
    <w:p>
      <w:pPr>
        <w:pBdr>
          <w:bottom w:val="single" w:color="BFBFBF" w:sz="6" w:space="1"/>
        </w:pBdr>
        <w:spacing w:after="120" w:before="120"/>
      </w:pPr>
    </w:p>
    <w:p>
      <w:pPr>
        <w:spacing w:after="60" w:before="160"/>
      </w:pPr>
      <w:r>
        <w:rPr>
          <w:b/>
          <w:bCs/>
        </w:rPr>
        <w:t xml:space="preserve">Resumen de la sesión</w:t>
      </w:r>
    </w:p>
    <w:p>
      <w:r>
        <w:t xml:space="preserve">En NE111 (Teoría de la Computación), esta sesión gira en torno a «Complejidad: medida de recursos y notación asintótica». Según la guía del maestro, lo central es: Complejidad temporal — número de pasos en función del tamaño de la entrada.; Complejidad espacial — número de celdas de cinta utilizadas.; O(g) — cota superior. f crece a lo sumo como g.; Ω(g) — cota inferior. f crece al menos como g..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Complejidad: medida de recursos y notación asintótica</w:t>
      </w:r>
    </w:p>
    <w:p>
      <w:r>
        <w:t xml:space="preserve">La computabilidad pregunta si algo se puede resolver. La complejidad da por hecho que sí y pregunta cuánto cuesta. Es la diferencia entre posible y práctico.</w:t>
      </w:r>
    </w:p>
    <w:p>
      <w:r>
        <w:t xml:space="preserve">Se mide en función de n, el tamaño de la entrada, y en el peor caso, porque es la única garantía que se puede dar.</w:t>
      </w:r>
    </w:p>
    <w:p>
      <w:r>
        <w:t xml:space="preserve">Contar pasos exactos depende del modelo y de detalles irrelevantes de implementación. Lo que importa es cómo crece el costo cuando la entrada crece. Por eso se descartan constantes y términos de menor orden.</w:t>
      </w:r>
    </w:p>
    <w:p>
      <w:r>
        <w:t xml:space="preserve">O(1) &lt; O(log n) &lt; O(n) &lt; O(n log n) &lt; O(n²) &lt; O(n³) &lt; O(2ⁿ) &lt; O(n!)</w:t>
      </w:r>
    </w:p>
    <w:p>
      <w:r>
        <w:t xml:space="preserve">Entre polinomial y exponencial hay un salto cualitativo, no de grado. Con n = 50, un algoritmo n³ hace 125 000 operaciones; uno de 2ⁿ hace más de 10¹⁵. Duplicar la velocidad de la máquina le agrega una unidad al tamaño de entrada tratable por el exponencial, mientras que al polinomial le multiplica el alcance.</w:t>
      </w:r>
    </w:p>
    <w:p>
      <w:r>
        <w:t xml:space="preserve">Por eso la teoría identifica «tratable» con «tiempo polinomial», aunque un algoritmo n¹⁰⁰ no sea práctico. La distinción es cualitativa y resulta ser la correcta para clasificar problemas.</w:t>
      </w:r>
    </w:p>
    <w:p>
      <w:r>
        <w:t xml:space="preserve">Un algoritmo tiene una complejidad; un problema tiene una cota inferior sobre todos los algoritmos posibles que lo resuelven. Demostrar cotas inferiores es mucho más difícil, porque hay que razonar sobre algoritmos que nadie ha escrito.</w:t>
      </w:r>
    </w:p>
    <w:p>
      <w:r>
        <w:t xml:space="preserve">Determinar la complejidad de búsqueda secuencial, búsqueda binaria, ordenamiento burbuja y merge sort, y ubicarlas en la jerarquía.</w:t>
      </w:r>
    </w:p>
    <w:p>
      <w:pPr>
        <w:spacing w:after="60" w:before="160"/>
      </w:pPr>
      <w:r>
        <w:rPr>
          <w:b/>
          <w:bCs/>
        </w:rPr>
        <w:t xml:space="preserve">Puntos que el programa marca</w:t>
      </w:r>
    </w:p>
    <w:p>
      <w:pPr>
        <w:pStyle w:val="ListParagraph"/>
        <w:numPr>
          <w:ilvl w:val="0"/>
          <w:numId w:val="2"/>
        </w:numPr>
        <w:spacing w:after="60"/>
      </w:pPr>
      <w:r>
        <w:t xml:space="preserve">Complejidad temporal — número de pasos en función del tamaño de la entrada.</w:t>
      </w:r>
    </w:p>
    <w:p>
      <w:pPr>
        <w:pStyle w:val="ListParagraph"/>
        <w:numPr>
          <w:ilvl w:val="0"/>
          <w:numId w:val="2"/>
        </w:numPr>
        <w:spacing w:after="60"/>
      </w:pPr>
      <w:r>
        <w:t xml:space="preserve">Complejidad espacial — número de celdas de cinta utilizadas.</w:t>
      </w:r>
    </w:p>
    <w:p>
      <w:pPr>
        <w:pStyle w:val="ListParagraph"/>
        <w:numPr>
          <w:ilvl w:val="0"/>
          <w:numId w:val="2"/>
        </w:numPr>
        <w:spacing w:after="60"/>
      </w:pPr>
      <w:r>
        <w:t xml:space="preserve">O(g) — cota superior. f crece a lo sumo como g.</w:t>
      </w:r>
    </w:p>
    <w:p>
      <w:pPr>
        <w:pStyle w:val="ListParagraph"/>
        <w:numPr>
          <w:ilvl w:val="0"/>
          <w:numId w:val="2"/>
        </w:numPr>
        <w:spacing w:after="60"/>
      </w:pPr>
      <w:r>
        <w:t xml:space="preserve">Ω(g) — cota inferior. f crece al menos como g.</w:t>
      </w:r>
    </w:p>
    <w:p>
      <w:pPr>
        <w:pStyle w:val="ListParagraph"/>
        <w:numPr>
          <w:ilvl w:val="0"/>
          <w:numId w:val="2"/>
        </w:numPr>
        <w:spacing w:after="60"/>
      </w:pPr>
      <w:r>
        <w:t xml:space="preserve">Θ(g) — cota ajustada. f crece exactamente como g.</w:t>
      </w:r>
    </w:p>
    <w:p>
      <w:pPr>
        <w:spacing w:after="60" w:before="160"/>
      </w:pPr>
      <w:r>
        <w:rPr>
          <w:b/>
          <w:bCs/>
        </w:rPr>
        <w:t xml:space="preserve">Explicación — para estudiar después</w:t>
      </w:r>
    </w:p>
    <w:p>
      <w:pPr>
        <w:spacing w:after="60" w:before="160"/>
      </w:pPr>
      <w:r>
        <w:rPr>
          <w:b/>
          <w:bCs/>
        </w:rPr>
        <w:t xml:space="preserve">CAMBIO DE PREGUNTA</w:t>
      </w:r>
    </w:p>
    <w:p>
      <w:r>
        <w:t xml:space="preserve">Bajo «CAMBIO DE PREGUNTA» en la sesión «Complejidad: medida de recursos y notación asintótica»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La computabilidad pregunta si algo se puede resolver. La complejidad da por hecho que sí y pregunta cuánto cuesta. Es la diferencia entre posible y práctico.</w:t>
      </w:r>
    </w:p>
    <w:p>
      <w:pPr>
        <w:spacing w:after="60" w:before="160"/>
      </w:pPr>
      <w:r>
        <w:rPr>
          <w:b/>
          <w:bCs/>
        </w:rPr>
        <w:t xml:space="preserve">QUÉ SE MIDE</w:t>
      </w:r>
    </w:p>
    <w:p>
      <w:r>
        <w:t xml:space="preserve">Bajo «QUÉ SE MIDE» en la sesión «Complejidad: medida de recursos y notación asintótica»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Complejidad temporal — número de pasos en función del tamaño de la entrada.</w:t>
      </w:r>
    </w:p>
    <w:p>
      <w:pPr>
        <w:pStyle w:val="ListParagraph"/>
        <w:numPr>
          <w:ilvl w:val="0"/>
          <w:numId w:val="2"/>
        </w:numPr>
        <w:spacing w:after="60"/>
      </w:pPr>
      <w:r>
        <w:t xml:space="preserve">Complejidad espacial — número de celdas de cinta utilizadas.</w:t>
      </w:r>
    </w:p>
    <w:p>
      <w:r>
        <w:t xml:space="preserve">Se mide en función de n, el tamaño de la entrada, y en el peor caso, porque es la única garantía que se puede dar.</w:t>
      </w:r>
    </w:p>
    <w:p>
      <w:pPr>
        <w:spacing w:after="60" w:before="160"/>
      </w:pPr>
      <w:r>
        <w:rPr>
          <w:b/>
          <w:bCs/>
        </w:rPr>
        <w:t xml:space="preserve">POR QUÉ ASINTÓTICA</w:t>
      </w:r>
    </w:p>
    <w:p>
      <w:r>
        <w:t xml:space="preserve">Bajo «POR QUÉ ASINTÓTICA» en la sesión «Complejidad: medida de recursos y notación asintótica»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Contar pasos exactos depende del modelo y de detalles irrelevantes de implementación. Lo que importa es cómo crece el costo cuando la entrada crece. Por eso se descartan constantes y términos de menor orden.</w:t>
      </w:r>
    </w:p>
    <w:p>
      <w:pPr>
        <w:spacing w:after="60" w:before="160"/>
      </w:pPr>
      <w:r>
        <w:rPr>
          <w:b/>
          <w:bCs/>
        </w:rPr>
        <w:t xml:space="preserve">LAS NOTACIONES</w:t>
      </w:r>
    </w:p>
    <w:p>
      <w:r>
        <w:t xml:space="preserve">Bajo «LAS NOTACIONES» en la sesión «Complejidad: medida de recursos y notación asintótica»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O(g) — cota superior. f crece a lo sumo como g.</w:t>
      </w:r>
    </w:p>
    <w:p>
      <w:pPr>
        <w:pStyle w:val="ListParagraph"/>
        <w:numPr>
          <w:ilvl w:val="0"/>
          <w:numId w:val="2"/>
        </w:numPr>
        <w:spacing w:after="60"/>
      </w:pPr>
      <w:r>
        <w:t xml:space="preserve">Ω(g) — cota inferior. f crece al menos como g.</w:t>
      </w:r>
    </w:p>
    <w:p>
      <w:pPr>
        <w:pStyle w:val="ListParagraph"/>
        <w:numPr>
          <w:ilvl w:val="0"/>
          <w:numId w:val="2"/>
        </w:numPr>
        <w:spacing w:after="60"/>
      </w:pPr>
      <w:r>
        <w:t xml:space="preserve">Θ(g) — cota ajustada. f crece exactamente como g.</w:t>
      </w:r>
    </w:p>
    <w:p>
      <w:pPr>
        <w:spacing w:after="60" w:before="160"/>
      </w:pPr>
      <w:r>
        <w:rPr>
          <w:b/>
          <w:bCs/>
        </w:rPr>
        <w:t xml:space="preserve">JERARQUÍA DE CRECIMIENTO</w:t>
      </w:r>
    </w:p>
    <w:p>
      <w:r>
        <w:t xml:space="preserve">Bajo «JERARQUÍA DE CRECIMIENTO» en la sesión «Complejidad: medida de recursos y notación asintótica»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O(1) &lt; O(log n) &lt; O(n) &lt; O(n log n) &lt; O(n²) &lt; O(n³) &lt; O(2ⁿ) &lt; O(n!)</w:t>
      </w:r>
    </w:p>
    <w:p>
      <w:pPr>
        <w:spacing w:after="60" w:before="160"/>
      </w:pPr>
      <w:r>
        <w:rPr>
          <w:b/>
          <w:bCs/>
        </w:rPr>
        <w:t xml:space="preserve">LA FRONTERA QUE IMPORTA</w:t>
      </w:r>
    </w:p>
    <w:p>
      <w:r>
        <w:t xml:space="preserve">Bajo «LA FRONTERA QUE IMPORTA» en la sesión «Complejidad: medida de recursos y notación asintótica»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Entre polinomial y exponencial hay un salto cualitativo, no de grado. Con n = 50, un algoritmo n³ hace 125 000 operaciones; uno de 2ⁿ hace más de 10¹⁵. Duplicar la velocidad de la máquina le agrega una unidad al tamaño de entrada tratable por el exponencial, mientras que al polinomial le multiplica el alcance.</w:t>
      </w:r>
    </w:p>
    <w:p>
      <w:r>
        <w:t xml:space="preserve">Por eso la teoría identifica «tratable» con «tiempo polinomial», aunque un algoritmo n¹⁰⁰ no sea práctico. La distinción es cualitativa y resulta ser la correcta para clasificar problemas.</w:t>
      </w:r>
    </w:p>
    <w:p>
      <w:pPr>
        <w:spacing w:after="60" w:before="160"/>
      </w:pPr>
      <w:r>
        <w:rPr>
          <w:b/>
          <w:bCs/>
        </w:rPr>
        <w:t xml:space="preserve">COMPLEJIDAD DE UN PROBLEMA, NO DE UN ALGORITMO</w:t>
      </w:r>
    </w:p>
    <w:p>
      <w:r>
        <w:t xml:space="preserve">Bajo «COMPLEJIDAD DE UN PROBLEMA, NO DE UN ALGORITMO» en la sesión «Complejidad: medida de recursos y notación asintótica»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Un algoritmo tiene una complejidad; un problema tiene una cota inferior sobre todos los algoritmos posibles que lo resuelven. Demostrar cotas inferiores es mucho más difícil, porque hay que razonar sobre algoritmos que nadie ha escrito.</w:t>
      </w:r>
    </w:p>
    <w:p>
      <w:pPr>
        <w:spacing w:after="60" w:before="160"/>
      </w:pPr>
      <w:r>
        <w:rPr>
          <w:b/>
          <w:bCs/>
        </w:rPr>
        <w:t xml:space="preserve">EJERCICIO</w:t>
      </w:r>
    </w:p>
    <w:p>
      <w:r>
        <w:t xml:space="preserve">Bajo «EJERCICIO» en la sesión «Complejidad: medida de recursos y notación asintótica»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Determinar la complejidad de búsqueda secuencial, búsqueda binaria, ordenamiento burbuja y merge sort, y ubicarlas en la jerarquía.</w:t>
      </w:r>
    </w:p>
    <w:p>
      <w:r>
        <w:t xml:space="preserve">• Complejidad temporal — número de pasos en función del tamaño de la entrada.: en el contexto de «Complejidad: medida de recursos y notación asintótica» (NE111), conviene fijar qué es, qué propiedades tiene y cuándo se aplica. Relaciona este punto con lo anterior del semestre y anota un ejemplo propio; eso es lo que suele pedirse en preguntas abiertas o en el seguimiento de tareas.</w:t>
      </w:r>
    </w:p>
    <w:p>
      <w:r>
        <w:t xml:space="preserve">• Complejidad espacial — número de celdas de cinta utilizadas.: en el contexto de «Complejidad: medida de recursos y notación asintótica» (NE111), conviene fijar qué es, qué propiedades tiene y cuándo se aplica. Relaciona este punto con lo anterior del semestre y anota un ejemplo propio; eso es lo que suele pedirse en preguntas abiertas o en el seguimiento de tareas.</w:t>
      </w:r>
    </w:p>
    <w:p>
      <w:r>
        <w:t xml:space="preserve">• O(g) — cota superior. f crece a lo sumo como g.: en el contexto de «Complejidad: medida de recursos y notación asintótica» (NE111), conviene fijar qué es, qué propiedades tiene y cuándo se aplica. Relaciona este punto con lo anterior del semestre y anota un ejemplo propio; eso es lo que suele pedirse en preguntas abiertas o en el seguimiento de tareas.</w:t>
      </w:r>
    </w:p>
    <w:p>
      <w:r>
        <w:t xml:space="preserve">• Ω(g) — cota inferior. f crece al menos como g.: en el contexto de «Complejidad: medida de recursos y notación asintótica» (NE111), conviene fijar qué es, qué propiedades tiene y cuándo se aplica. Relaciona este punto con lo anterior del semestre y anota un ejemplo propio; eso es lo que suele pedirse en preguntas abiertas o en el seguimiento de tareas.</w:t>
      </w:r>
    </w:p>
    <w:p>
      <w:r>
        <w:t xml:space="preserve">• Θ(g) — cota ajustada. f crece exactamente como g.: en el contexto de «Complejidad: medida de recursos y notación asintótica»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«Complejidad temporal — número de pasos en función del tamaño de la entrada.» y por qué importa en NE111?</w:t>
      </w:r>
    </w:p>
    <w:p>
      <w:pPr>
        <w:pStyle w:val="ListParagraph"/>
        <w:numPr>
          <w:ilvl w:val="0"/>
          <w:numId w:val="2"/>
        </w:numPr>
        <w:spacing w:after="60"/>
      </w:pPr>
      <w:r>
        <w:t xml:space="preserve">¿Qué es «Complejidad espacial — número de celdas de cinta utilizadas.» y por qué importa en NE111?</w:t>
      </w:r>
    </w:p>
    <w:p>
      <w:pPr>
        <w:pStyle w:val="ListParagraph"/>
        <w:numPr>
          <w:ilvl w:val="0"/>
          <w:numId w:val="2"/>
        </w:numPr>
        <w:spacing w:after="60"/>
      </w:pPr>
      <w:r>
        <w:t xml:space="preserve">¿Qué es «O(g) — cota superior. f crece a lo sumo como g.» y por qué importa en NE111?</w:t>
      </w:r>
    </w:p>
    <w:p>
      <w:pPr>
        <w:pStyle w:val="ListParagraph"/>
        <w:numPr>
          <w:ilvl w:val="0"/>
          <w:numId w:val="2"/>
        </w:numPr>
        <w:spacing w:after="60"/>
      </w:pPr>
      <w:r>
        <w:t xml:space="preserve">¿Qué es «Ω(g) — cota inferior. f crece al menos como g.» y por qué importa en NE111?</w:t>
      </w:r>
    </w:p>
    <w:p>
      <w:pPr>
        <w:pStyle w:val="ListParagraph"/>
        <w:numPr>
          <w:ilvl w:val="0"/>
          <w:numId w:val="2"/>
        </w:numPr>
        <w:spacing w:after="60"/>
      </w:pPr>
      <w:r>
        <w:t xml:space="preserve">¿Qué es «Θ(g) — cota ajustada. f crece exactamente como g.» y por qué importa en NE111?</w:t>
      </w:r>
    </w:p>
    <w:p>
      <w:pPr>
        <w:pStyle w:val="ListParagraph"/>
        <w:numPr>
          <w:ilvl w:val="0"/>
          <w:numId w:val="2"/>
        </w:numPr>
        <w:spacing w:after="60"/>
      </w:pPr>
      <w:r>
        <w:t xml:space="preserve">¿Cómo se conecta «Complejidad: medida de recursos y notación asintótica» con evaluaciones o tareas de Teoría de la Computación?</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2026-09-09T23:20:02.268Z</dcterms:created>
  <dcterms:modified xsi:type="dcterms:W3CDTF">2026-09-09T23:20:02.268Z</dcterms:modified>
</cp:coreProperties>
</file>

<file path=docProps/custom.xml><?xml version="1.0" encoding="utf-8"?>
<Properties xmlns="http://schemas.openxmlformats.org/officeDocument/2006/custom-properties" xmlns:vt="http://schemas.openxmlformats.org/officeDocument/2006/docPropsVTypes"/>
</file>