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23-11-26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23/11/2026  ·  10:00-11:40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Interfaces multiusuario y ética en IHC · Cierre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ÚLTIMA SESIÓN DEL CURSO</w:t>
      </w:r>
    </w:p>
    <w:p>
      <w:r>
        <w:rPr>
          <w:rFonts w:ascii="Arial" w:hAnsi="Arial" w:cs="Arial"/>
          <w:b w:val="0"/>
          <w:i w:val="0"/>
          <w:sz w:val="20"/>
        </w:rPr>
        <w:t>Hoy se cierran las unidades 4.3 y 4.4. La semana pasada no hubo clase por el asueto del 16 de noviembre, así que ambos temas se ven juntos.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INTERFACES MULTIUSUARIO</w:t>
      </w:r>
    </w:p>
    <w:p>
      <w:r>
        <w:rPr>
          <w:rFonts w:ascii="Arial" w:hAnsi="Arial" w:cs="Arial"/>
          <w:b w:val="0"/>
          <w:i w:val="0"/>
          <w:sz w:val="20"/>
        </w:rPr>
        <w:t>Cuando varias personas usan el sistema a la vez aparecen problemas que no existen en el uso individual: coordinación, conciencia de la actividad ajena y control de conflictos.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Conciencia del grupo — saber quién está, qué hace y dónde. Los cursores con nombre de los editores colaborativos resuelven esto.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Trabajo síncrono y asíncrono — edición simultánea frente a comentarios y revisiones.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Control de concurrencia — qué pasa si dos personas editan lo mismo. Bloqueo, fusión automática o resolución manual.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Territorialidad — en mesas y pizarrones compartidos, la gente se apropia de zonas del espacio.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MODELO TIEMPO-ESPACIO</w:t>
      </w:r>
    </w:p>
    <w:p>
      <w:r>
        <w:rPr>
          <w:rFonts w:ascii="Arial" w:hAnsi="Arial" w:cs="Arial"/>
          <w:b w:val="0"/>
          <w:i w:val="0"/>
          <w:sz w:val="20"/>
        </w:rPr>
        <w:t>Mismo tiempo y mismo lugar es una reunión presencial; mismo tiempo y distinto lugar es una videollamada; distinto tiempo y mismo lugar es un pizarrón de avisos; distinto tiempo y distinto lugar es el correo. Cada cuadrante exige un diseño distinto.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ÉTICA EN IHC</w:t>
      </w:r>
    </w:p>
    <w:p>
      <w:r>
        <w:rPr>
          <w:rFonts w:ascii="Arial" w:hAnsi="Arial" w:cs="Arial"/>
          <w:b w:val="0"/>
          <w:i w:val="0"/>
          <w:sz w:val="20"/>
        </w:rPr>
        <w:t>Toda decisión de diseño distribuye poder: define qué es fácil, qué es difícil y qué es invisible. Eso la vuelve una decisión ética, se reconozca o 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Privacidad — recolectar el mínimo necesario y decirlo con claridad.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Consentimiento informado — que se entienda a qué se accede, sin sepultarlo en términos y condiciones.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Autonomía — el usuario decide; el sistema sugiere.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Inclusión — no dejar fuera por discapacidad, idioma, edad o recursos.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Transparencia — que se pueda saber por qué el sistema hizo lo que hizo.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Diseño para el bienestar — no optimizar el tiempo en pantalla como si fuera un fin.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RESPONSABILIDAD PROFESIONAL</w:t>
      </w:r>
    </w:p>
    <w:p>
      <w:r>
        <w:rPr>
          <w:rFonts w:ascii="Arial" w:hAnsi="Arial" w:cs="Arial"/>
          <w:b w:val="0"/>
          <w:i w:val="0"/>
          <w:sz w:val="20"/>
        </w:rPr>
        <w:t>El resultado SO4 del curso pide reconocer responsabilidades éticas en situaciones de ingeniería y considerar el impacto de las soluciones en contextos globales, económicos, ambientales y sociales. En IHC eso se concreta en una pregunta: ¿a quién beneficia esta interfaz y a costa de qué?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1 — qué es la IHC, disciplinas involucradas y metas del diseño.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2 — evaluación: métricas, heurísticas, pruebas, accesibilidad, internacionalización y UX.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3 — diseño: paradigmas, prototipos y su evaluación.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4 — tendencias: dispositivos, paradigmas emergentes, multiusuario y ética.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PENDIENTES</w:t>
      </w:r>
    </w:p>
    <w:p>
      <w:r>
        <w:rPr>
          <w:rFonts w:ascii="Arial" w:hAnsi="Arial" w:cs="Arial"/>
          <w:b w:val="0"/>
          <w:i w:val="0"/>
          <w:sz w:val="20"/>
        </w:rPr>
        <w:t>Proyecto final, presentación oral y examen final, según lo publicado en Blackboard. El periodo de exámenes finales corre del 1 al 8 de diciembre.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